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F39D" w14:textId="4CE437DF" w:rsidR="00CA1E7F" w:rsidRDefault="00CA1E7F" w:rsidP="00EB138D">
      <w:pPr>
        <w:rPr>
          <w:rFonts w:ascii="Arial" w:hAnsi="Arial" w:cs="Arial"/>
          <w:b/>
          <w:bCs/>
          <w:color w:val="002060"/>
          <w:sz w:val="24"/>
          <w:szCs w:val="24"/>
        </w:rPr>
      </w:pPr>
      <w:bookmarkStart w:id="0" w:name="_Toc212129547"/>
      <w:r w:rsidRPr="00EB138D">
        <w:rPr>
          <w:rFonts w:ascii="Arial" w:hAnsi="Arial" w:cs="Arial"/>
          <w:b/>
          <w:bCs/>
          <w:color w:val="002060"/>
          <w:sz w:val="24"/>
          <w:szCs w:val="24"/>
        </w:rPr>
        <w:t>Transparency in Supply Chains</w:t>
      </w:r>
      <w:bookmarkEnd w:id="0"/>
    </w:p>
    <w:p w14:paraId="24238ABD" w14:textId="3A4541B0" w:rsidR="00391476" w:rsidRPr="00EB138D" w:rsidRDefault="00391476" w:rsidP="00EB138D">
      <w:pPr>
        <w:rPr>
          <w:rFonts w:ascii="Arial" w:hAnsi="Arial" w:cs="Arial"/>
          <w:b/>
          <w:bCs/>
          <w:color w:val="002060"/>
          <w:sz w:val="24"/>
          <w:szCs w:val="24"/>
        </w:rPr>
      </w:pPr>
      <w:r>
        <w:rPr>
          <w:rFonts w:ascii="Arial" w:hAnsi="Arial" w:cs="Arial"/>
          <w:b/>
          <w:bCs/>
          <w:color w:val="002060"/>
          <w:sz w:val="24"/>
          <w:szCs w:val="24"/>
        </w:rPr>
        <w:t>Modern Slavery</w:t>
      </w:r>
    </w:p>
    <w:p w14:paraId="5C550D40" w14:textId="77777777" w:rsidR="00A33681" w:rsidRDefault="00A33681" w:rsidP="00A33681">
      <w:pPr>
        <w:rPr>
          <w:rFonts w:ascii="Arial" w:hAnsi="Arial" w:cs="Arial"/>
          <w:color w:val="002060"/>
          <w:sz w:val="24"/>
          <w:szCs w:val="24"/>
          <w:u w:val="single"/>
        </w:rPr>
      </w:pPr>
      <w:bookmarkStart w:id="1" w:name="_Toc212129548"/>
      <w:bookmarkStart w:id="2" w:name="_Toc212129550"/>
    </w:p>
    <w:p w14:paraId="2A583A09" w14:textId="02D678F8" w:rsidR="00A33681" w:rsidRPr="00EB138D" w:rsidRDefault="00A33681" w:rsidP="00A33681">
      <w:pPr>
        <w:rPr>
          <w:rFonts w:ascii="Arial" w:hAnsi="Arial" w:cs="Arial"/>
          <w:color w:val="002060"/>
          <w:sz w:val="24"/>
          <w:szCs w:val="24"/>
          <w:u w:val="single"/>
        </w:rPr>
      </w:pPr>
      <w:r w:rsidRPr="00EB138D">
        <w:rPr>
          <w:rFonts w:ascii="Arial" w:hAnsi="Arial" w:cs="Arial"/>
          <w:color w:val="002060"/>
          <w:sz w:val="24"/>
          <w:szCs w:val="24"/>
          <w:u w:val="single"/>
        </w:rPr>
        <w:t>Statements and Action Plans</w:t>
      </w:r>
      <w:bookmarkEnd w:id="2"/>
    </w:p>
    <w:p w14:paraId="219FD22C" w14:textId="77777777" w:rsidR="006B2481" w:rsidRDefault="006B2481" w:rsidP="00A33681">
      <w:pPr>
        <w:rPr>
          <w:rFonts w:ascii="Arial" w:hAnsi="Arial" w:cs="Arial"/>
          <w:color w:val="002060"/>
          <w:sz w:val="24"/>
          <w:szCs w:val="24"/>
        </w:rPr>
      </w:pPr>
    </w:p>
    <w:p w14:paraId="15B72FFB" w14:textId="7D041B7F" w:rsidR="00A33681" w:rsidRPr="00EB138D" w:rsidRDefault="00A33681" w:rsidP="00A33681">
      <w:pPr>
        <w:rPr>
          <w:rFonts w:ascii="Arial" w:hAnsi="Arial" w:cs="Arial"/>
          <w:color w:val="002060"/>
          <w:sz w:val="24"/>
          <w:szCs w:val="24"/>
        </w:rPr>
      </w:pPr>
      <w:r w:rsidRPr="00EB138D">
        <w:rPr>
          <w:rFonts w:ascii="Arial" w:hAnsi="Arial" w:cs="Arial"/>
          <w:color w:val="002060"/>
          <w:sz w:val="24"/>
          <w:szCs w:val="24"/>
        </w:rPr>
        <w:t>The Modern Slavery Act 2015 requires all businesses with £36</w:t>
      </w:r>
      <w:r>
        <w:rPr>
          <w:rFonts w:ascii="Arial" w:hAnsi="Arial" w:cs="Arial"/>
          <w:color w:val="002060"/>
          <w:sz w:val="24"/>
          <w:szCs w:val="24"/>
        </w:rPr>
        <w:t xml:space="preserve"> </w:t>
      </w:r>
      <w:r w:rsidRPr="00EB138D">
        <w:rPr>
          <w:rFonts w:ascii="Arial" w:hAnsi="Arial" w:cs="Arial"/>
          <w:color w:val="002060"/>
          <w:sz w:val="24"/>
          <w:szCs w:val="24"/>
        </w:rPr>
        <w:t>m</w:t>
      </w:r>
      <w:r>
        <w:rPr>
          <w:rFonts w:ascii="Arial" w:hAnsi="Arial" w:cs="Arial"/>
          <w:color w:val="002060"/>
          <w:sz w:val="24"/>
          <w:szCs w:val="24"/>
        </w:rPr>
        <w:t>illion</w:t>
      </w:r>
      <w:r w:rsidRPr="00EB138D">
        <w:rPr>
          <w:rFonts w:ascii="Arial" w:hAnsi="Arial" w:cs="Arial"/>
          <w:color w:val="002060"/>
          <w:sz w:val="24"/>
          <w:szCs w:val="24"/>
        </w:rPr>
        <w:t xml:space="preserve"> annual turnover and above to publish an annual statement, signed by the most senior officer in the organisation. Historical Statements should be published on websites to show progress in action plans. Areas to be addressed in within the statements include:</w:t>
      </w:r>
    </w:p>
    <w:p w14:paraId="2FB87951" w14:textId="77777777" w:rsidR="00A33681" w:rsidRPr="00EB138D" w:rsidRDefault="00A33681" w:rsidP="00A33681">
      <w:pPr>
        <w:pStyle w:val="ListParagraph"/>
        <w:numPr>
          <w:ilvl w:val="0"/>
          <w:numId w:val="3"/>
        </w:numPr>
        <w:rPr>
          <w:rFonts w:ascii="Arial" w:hAnsi="Arial" w:cs="Arial"/>
          <w:color w:val="002060"/>
          <w:sz w:val="24"/>
          <w:szCs w:val="24"/>
        </w:rPr>
      </w:pPr>
      <w:r w:rsidRPr="00EB138D">
        <w:rPr>
          <w:rFonts w:ascii="Arial" w:hAnsi="Arial" w:cs="Arial"/>
          <w:color w:val="002060"/>
          <w:sz w:val="24"/>
          <w:szCs w:val="24"/>
        </w:rPr>
        <w:t>Organisation structure</w:t>
      </w:r>
    </w:p>
    <w:p w14:paraId="5312D6B1" w14:textId="77777777" w:rsidR="00A33681" w:rsidRPr="00EB138D" w:rsidRDefault="00A33681" w:rsidP="00A33681">
      <w:pPr>
        <w:pStyle w:val="ListParagraph"/>
        <w:numPr>
          <w:ilvl w:val="0"/>
          <w:numId w:val="3"/>
        </w:numPr>
        <w:rPr>
          <w:rFonts w:ascii="Arial" w:hAnsi="Arial" w:cs="Arial"/>
          <w:color w:val="002060"/>
          <w:sz w:val="24"/>
          <w:szCs w:val="24"/>
        </w:rPr>
      </w:pPr>
      <w:r w:rsidRPr="00EB138D">
        <w:rPr>
          <w:rFonts w:ascii="Arial" w:hAnsi="Arial" w:cs="Arial"/>
          <w:color w:val="002060"/>
          <w:sz w:val="24"/>
          <w:szCs w:val="24"/>
        </w:rPr>
        <w:t>Policies</w:t>
      </w:r>
    </w:p>
    <w:p w14:paraId="14C31BF8" w14:textId="77777777" w:rsidR="00A33681" w:rsidRPr="00EB138D" w:rsidRDefault="00A33681" w:rsidP="00A33681">
      <w:pPr>
        <w:pStyle w:val="ListParagraph"/>
        <w:numPr>
          <w:ilvl w:val="0"/>
          <w:numId w:val="3"/>
        </w:numPr>
        <w:rPr>
          <w:rFonts w:ascii="Arial" w:hAnsi="Arial" w:cs="Arial"/>
          <w:color w:val="002060"/>
          <w:sz w:val="24"/>
          <w:szCs w:val="24"/>
        </w:rPr>
      </w:pPr>
      <w:r w:rsidRPr="00EB138D">
        <w:rPr>
          <w:rFonts w:ascii="Arial" w:hAnsi="Arial" w:cs="Arial"/>
          <w:color w:val="002060"/>
          <w:sz w:val="24"/>
          <w:szCs w:val="24"/>
        </w:rPr>
        <w:t>Risk assessment</w:t>
      </w:r>
    </w:p>
    <w:p w14:paraId="1C14C081" w14:textId="77777777" w:rsidR="00A33681" w:rsidRPr="00EB138D" w:rsidRDefault="00A33681" w:rsidP="00A33681">
      <w:pPr>
        <w:pStyle w:val="ListParagraph"/>
        <w:numPr>
          <w:ilvl w:val="0"/>
          <w:numId w:val="3"/>
        </w:numPr>
        <w:rPr>
          <w:rFonts w:ascii="Arial" w:hAnsi="Arial" w:cs="Arial"/>
          <w:color w:val="002060"/>
          <w:sz w:val="24"/>
          <w:szCs w:val="24"/>
        </w:rPr>
      </w:pPr>
      <w:r w:rsidRPr="00EB138D">
        <w:rPr>
          <w:rFonts w:ascii="Arial" w:hAnsi="Arial" w:cs="Arial"/>
          <w:color w:val="002060"/>
          <w:sz w:val="24"/>
          <w:szCs w:val="24"/>
        </w:rPr>
        <w:t>Due diligence</w:t>
      </w:r>
    </w:p>
    <w:p w14:paraId="6329CC4F" w14:textId="77777777" w:rsidR="00A33681" w:rsidRPr="00EB138D" w:rsidRDefault="00A33681" w:rsidP="00A33681">
      <w:pPr>
        <w:pStyle w:val="ListParagraph"/>
        <w:numPr>
          <w:ilvl w:val="0"/>
          <w:numId w:val="3"/>
        </w:numPr>
        <w:rPr>
          <w:rFonts w:ascii="Arial" w:hAnsi="Arial" w:cs="Arial"/>
          <w:color w:val="002060"/>
          <w:sz w:val="24"/>
          <w:szCs w:val="24"/>
        </w:rPr>
      </w:pPr>
      <w:r w:rsidRPr="00EB138D">
        <w:rPr>
          <w:rFonts w:ascii="Arial" w:hAnsi="Arial" w:cs="Arial"/>
          <w:color w:val="002060"/>
          <w:sz w:val="24"/>
          <w:szCs w:val="24"/>
        </w:rPr>
        <w:t>Training</w:t>
      </w:r>
    </w:p>
    <w:p w14:paraId="558FDC6C" w14:textId="77777777" w:rsidR="00A33681" w:rsidRPr="00EB138D" w:rsidRDefault="00A33681" w:rsidP="00A33681">
      <w:pPr>
        <w:pStyle w:val="ListParagraph"/>
        <w:numPr>
          <w:ilvl w:val="0"/>
          <w:numId w:val="3"/>
        </w:numPr>
        <w:rPr>
          <w:rFonts w:ascii="Arial" w:hAnsi="Arial" w:cs="Arial"/>
          <w:color w:val="002060"/>
          <w:sz w:val="24"/>
          <w:szCs w:val="24"/>
        </w:rPr>
      </w:pPr>
      <w:r w:rsidRPr="00EB138D">
        <w:rPr>
          <w:rFonts w:ascii="Arial" w:hAnsi="Arial" w:cs="Arial"/>
          <w:color w:val="002060"/>
          <w:sz w:val="24"/>
          <w:szCs w:val="24"/>
        </w:rPr>
        <w:t>Monitoring &amp; evaluation</w:t>
      </w:r>
    </w:p>
    <w:p w14:paraId="0B080064" w14:textId="77777777" w:rsidR="00A33681" w:rsidRPr="00EB138D" w:rsidRDefault="00A33681" w:rsidP="00A33681">
      <w:pPr>
        <w:rPr>
          <w:rFonts w:ascii="Arial" w:hAnsi="Arial" w:cs="Arial"/>
          <w:color w:val="002060"/>
          <w:sz w:val="24"/>
          <w:szCs w:val="24"/>
        </w:rPr>
      </w:pPr>
      <w:r w:rsidRPr="00EB138D">
        <w:rPr>
          <w:rFonts w:ascii="Arial" w:hAnsi="Arial" w:cs="Arial"/>
          <w:color w:val="002060"/>
          <w:sz w:val="24"/>
          <w:szCs w:val="24"/>
        </w:rPr>
        <w:t>Latest guidance from the Home Office requires the following to be included:</w:t>
      </w:r>
    </w:p>
    <w:p w14:paraId="4D03B80C"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Outline of products, sectors and services</w:t>
      </w:r>
    </w:p>
    <w:p w14:paraId="22B87549"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Information gathering process</w:t>
      </w:r>
    </w:p>
    <w:p w14:paraId="19782B97"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International standards (</w:t>
      </w:r>
      <w:hyperlink r:id="rId6" w:history="1">
        <w:r w:rsidRPr="00EB138D">
          <w:rPr>
            <w:rStyle w:val="Hyperlink"/>
            <w:rFonts w:ascii="Arial" w:hAnsi="Arial" w:cs="Arial"/>
            <w:color w:val="002060"/>
            <w:sz w:val="24"/>
            <w:szCs w:val="24"/>
          </w:rPr>
          <w:t>Organisation for Economic Co-operative Development (OECD) Due Diligence Guidance for Responsible Business Conduct</w:t>
        </w:r>
      </w:hyperlink>
      <w:r w:rsidRPr="00EB138D">
        <w:rPr>
          <w:rFonts w:ascii="Arial" w:hAnsi="Arial" w:cs="Arial"/>
          <w:color w:val="002060"/>
          <w:sz w:val="24"/>
          <w:szCs w:val="24"/>
        </w:rPr>
        <w:t>, British Standards (</w:t>
      </w:r>
      <w:hyperlink r:id="rId7" w:history="1">
        <w:r w:rsidRPr="00EB138D">
          <w:rPr>
            <w:rStyle w:val="Hyperlink"/>
            <w:rFonts w:ascii="Arial" w:hAnsi="Arial" w:cs="Arial"/>
            <w:color w:val="002060"/>
            <w:sz w:val="24"/>
            <w:szCs w:val="24"/>
          </w:rPr>
          <w:t>BS 25700:2022 Organisational Responses to Modern Slavery</w:t>
        </w:r>
      </w:hyperlink>
    </w:p>
    <w:p w14:paraId="322D10EE"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Stakeholder engagement</w:t>
      </w:r>
    </w:p>
    <w:p w14:paraId="05EF4279"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Supply Chain continuous improvement</w:t>
      </w:r>
    </w:p>
    <w:p w14:paraId="46D5BE6D"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Supplier and worker engagement</w:t>
      </w:r>
    </w:p>
    <w:p w14:paraId="10F7245B"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 xml:space="preserve">Grievance mechanism </w:t>
      </w:r>
    </w:p>
    <w:p w14:paraId="743A78D8"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Remediation policies and processes</w:t>
      </w:r>
    </w:p>
    <w:p w14:paraId="023AE2BF"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Business model</w:t>
      </w:r>
    </w:p>
    <w:p w14:paraId="281958A2" w14:textId="77777777" w:rsidR="00A33681" w:rsidRPr="00EB138D" w:rsidRDefault="00A33681" w:rsidP="00A33681">
      <w:pPr>
        <w:pStyle w:val="ListParagraph"/>
        <w:numPr>
          <w:ilvl w:val="0"/>
          <w:numId w:val="4"/>
        </w:numPr>
        <w:rPr>
          <w:rFonts w:ascii="Arial" w:hAnsi="Arial" w:cs="Arial"/>
          <w:color w:val="002060"/>
          <w:sz w:val="24"/>
          <w:szCs w:val="24"/>
        </w:rPr>
      </w:pPr>
      <w:r w:rsidRPr="00EB138D">
        <w:rPr>
          <w:rFonts w:ascii="Arial" w:hAnsi="Arial" w:cs="Arial"/>
          <w:color w:val="002060"/>
          <w:sz w:val="24"/>
          <w:szCs w:val="24"/>
        </w:rPr>
        <w:t>Continuous improvement within the organisation and broader industry (peer groups etc.)</w:t>
      </w:r>
    </w:p>
    <w:p w14:paraId="6F6A0EE0" w14:textId="77777777" w:rsidR="00A33681" w:rsidRPr="00EB138D" w:rsidRDefault="00A33681" w:rsidP="00A33681">
      <w:pPr>
        <w:rPr>
          <w:rFonts w:ascii="Arial" w:hAnsi="Arial" w:cs="Arial"/>
          <w:color w:val="002060"/>
          <w:sz w:val="24"/>
          <w:szCs w:val="24"/>
        </w:rPr>
      </w:pPr>
      <w:r w:rsidRPr="00EB138D">
        <w:rPr>
          <w:rFonts w:ascii="Arial" w:hAnsi="Arial" w:cs="Arial"/>
          <w:color w:val="002060"/>
          <w:sz w:val="24"/>
          <w:szCs w:val="24"/>
        </w:rPr>
        <w:t>There are multiple resources available to support businesses with achieving compliance. The UK Government is keen to encourage “a culture of race to the top” in this area so collaboration and support between organisations is key.</w:t>
      </w:r>
    </w:p>
    <w:p w14:paraId="52C997EB" w14:textId="77777777" w:rsidR="00A33681" w:rsidRPr="00EB138D" w:rsidRDefault="00A33681" w:rsidP="00A33681">
      <w:pPr>
        <w:rPr>
          <w:rFonts w:ascii="Arial" w:hAnsi="Arial" w:cs="Arial"/>
          <w:color w:val="002060"/>
          <w:sz w:val="24"/>
          <w:szCs w:val="24"/>
        </w:rPr>
      </w:pPr>
      <w:r w:rsidRPr="00EB138D">
        <w:rPr>
          <w:rFonts w:ascii="Arial" w:hAnsi="Arial" w:cs="Arial"/>
          <w:color w:val="002060"/>
          <w:sz w:val="24"/>
          <w:szCs w:val="24"/>
        </w:rPr>
        <w:t>The latest Government guidance includes an optional template International reporting template on modern slavery, forced labour and child labour for businesses operating in Australia– </w:t>
      </w:r>
      <w:hyperlink r:id="rId8" w:history="1">
        <w:r w:rsidRPr="00EB138D">
          <w:rPr>
            <w:rStyle w:val="Hyperlink"/>
            <w:rFonts w:ascii="Arial" w:hAnsi="Arial" w:cs="Arial"/>
            <w:color w:val="002060"/>
            <w:sz w:val="24"/>
            <w:szCs w:val="24"/>
          </w:rPr>
          <w:t>Modern Slavery Act 2018 (</w:t>
        </w:r>
        <w:proofErr w:type="spellStart"/>
        <w:r w:rsidRPr="00EB138D">
          <w:rPr>
            <w:rStyle w:val="Hyperlink"/>
            <w:rFonts w:ascii="Arial" w:hAnsi="Arial" w:cs="Arial"/>
            <w:color w:val="002060"/>
            <w:sz w:val="24"/>
            <w:szCs w:val="24"/>
          </w:rPr>
          <w:t>Cth</w:t>
        </w:r>
        <w:proofErr w:type="spellEnd"/>
      </w:hyperlink>
      <w:r w:rsidRPr="00EB138D">
        <w:rPr>
          <w:rFonts w:ascii="Arial" w:hAnsi="Arial" w:cs="Arial"/>
          <w:color w:val="002060"/>
          <w:sz w:val="24"/>
          <w:szCs w:val="24"/>
        </w:rPr>
        <w:t>), Canada– </w:t>
      </w:r>
      <w:hyperlink r:id="rId9" w:history="1">
        <w:r w:rsidRPr="00EB138D">
          <w:rPr>
            <w:rStyle w:val="Hyperlink"/>
            <w:rFonts w:ascii="Arial" w:hAnsi="Arial" w:cs="Arial"/>
            <w:color w:val="002060"/>
            <w:sz w:val="24"/>
            <w:szCs w:val="24"/>
          </w:rPr>
          <w:t>Fighting Against Forced Labour and Child Labour in Supply Chains Act</w:t>
        </w:r>
      </w:hyperlink>
      <w:r w:rsidRPr="00EB138D">
        <w:rPr>
          <w:rFonts w:ascii="Arial" w:hAnsi="Arial" w:cs="Arial"/>
          <w:color w:val="002060"/>
          <w:sz w:val="24"/>
          <w:szCs w:val="24"/>
        </w:rPr>
        <w:t xml:space="preserve"> and the United Kingdom – </w:t>
      </w:r>
      <w:hyperlink r:id="rId10" w:history="1">
        <w:r w:rsidRPr="00EB138D">
          <w:rPr>
            <w:rStyle w:val="Hyperlink"/>
            <w:rFonts w:ascii="Arial" w:hAnsi="Arial" w:cs="Arial"/>
            <w:color w:val="002060"/>
            <w:sz w:val="24"/>
            <w:szCs w:val="24"/>
          </w:rPr>
          <w:t>Modern Slavery Act 2015</w:t>
        </w:r>
      </w:hyperlink>
      <w:r w:rsidRPr="00EB138D">
        <w:rPr>
          <w:rFonts w:ascii="Arial" w:hAnsi="Arial" w:cs="Arial"/>
          <w:color w:val="002060"/>
          <w:sz w:val="24"/>
          <w:szCs w:val="24"/>
        </w:rPr>
        <w:t xml:space="preserve"> . Although there are differences in the legislative requirements, definitions, and scope – modern slavery legislation in the UK, Australia and Canada has a common goal – to promote transparency and encourage responsible business practices by compelling </w:t>
      </w:r>
      <w:r w:rsidRPr="00EB138D">
        <w:rPr>
          <w:rFonts w:ascii="Arial" w:hAnsi="Arial" w:cs="Arial"/>
          <w:color w:val="002060"/>
          <w:sz w:val="24"/>
          <w:szCs w:val="24"/>
        </w:rPr>
        <w:lastRenderedPageBreak/>
        <w:t>businesses to report on their efforts to address modern slavery risks in their operations and global supply chains.</w:t>
      </w:r>
    </w:p>
    <w:p w14:paraId="1AD5E59E" w14:textId="77777777" w:rsidR="00A33681" w:rsidRDefault="00A33681" w:rsidP="00A33681">
      <w:pPr>
        <w:rPr>
          <w:rFonts w:ascii="Arial" w:hAnsi="Arial" w:cs="Arial"/>
          <w:color w:val="002060"/>
          <w:sz w:val="24"/>
          <w:szCs w:val="24"/>
        </w:rPr>
      </w:pPr>
    </w:p>
    <w:p w14:paraId="3C5E528A" w14:textId="77777777" w:rsidR="00EB138D" w:rsidRDefault="00EB138D" w:rsidP="00EB138D">
      <w:pPr>
        <w:rPr>
          <w:rFonts w:ascii="Arial" w:hAnsi="Arial" w:cs="Arial"/>
          <w:color w:val="002060"/>
          <w:sz w:val="24"/>
          <w:szCs w:val="24"/>
        </w:rPr>
      </w:pPr>
    </w:p>
    <w:bookmarkEnd w:id="1"/>
    <w:sectPr w:rsidR="00EB138D" w:rsidSect="00EB13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656"/>
    <w:multiLevelType w:val="hybridMultilevel"/>
    <w:tmpl w:val="A1FA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B16E9"/>
    <w:multiLevelType w:val="hybridMultilevel"/>
    <w:tmpl w:val="60B2F1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EA870C1"/>
    <w:multiLevelType w:val="hybridMultilevel"/>
    <w:tmpl w:val="EBB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25405"/>
    <w:multiLevelType w:val="hybridMultilevel"/>
    <w:tmpl w:val="33FC9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A0CB3"/>
    <w:multiLevelType w:val="hybridMultilevel"/>
    <w:tmpl w:val="D2FCAC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692C14B2"/>
    <w:multiLevelType w:val="multilevel"/>
    <w:tmpl w:val="46C2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A4B3F"/>
    <w:multiLevelType w:val="multilevel"/>
    <w:tmpl w:val="CC1CC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980799">
    <w:abstractNumId w:val="1"/>
  </w:num>
  <w:num w:numId="2" w16cid:durableId="682784793">
    <w:abstractNumId w:val="3"/>
  </w:num>
  <w:num w:numId="3" w16cid:durableId="1353022779">
    <w:abstractNumId w:val="4"/>
  </w:num>
  <w:num w:numId="4" w16cid:durableId="1001784570">
    <w:abstractNumId w:val="2"/>
  </w:num>
  <w:num w:numId="5" w16cid:durableId="1174567242">
    <w:abstractNumId w:val="5"/>
  </w:num>
  <w:num w:numId="6" w16cid:durableId="558977933">
    <w:abstractNumId w:val="0"/>
  </w:num>
  <w:num w:numId="7" w16cid:durableId="138809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7F"/>
    <w:rsid w:val="000000F3"/>
    <w:rsid w:val="00037607"/>
    <w:rsid w:val="0004367D"/>
    <w:rsid w:val="000467F3"/>
    <w:rsid w:val="0006731C"/>
    <w:rsid w:val="00076A17"/>
    <w:rsid w:val="000A471A"/>
    <w:rsid w:val="000B6001"/>
    <w:rsid w:val="000C1923"/>
    <w:rsid w:val="000C6B0F"/>
    <w:rsid w:val="000C6F3B"/>
    <w:rsid w:val="000D0D0C"/>
    <w:rsid w:val="001050D8"/>
    <w:rsid w:val="0012153B"/>
    <w:rsid w:val="001543B4"/>
    <w:rsid w:val="00160363"/>
    <w:rsid w:val="00161963"/>
    <w:rsid w:val="0019267C"/>
    <w:rsid w:val="001E45FD"/>
    <w:rsid w:val="001E7DF4"/>
    <w:rsid w:val="00200620"/>
    <w:rsid w:val="00220374"/>
    <w:rsid w:val="00225B11"/>
    <w:rsid w:val="00254267"/>
    <w:rsid w:val="0025486B"/>
    <w:rsid w:val="002656E8"/>
    <w:rsid w:val="002754E3"/>
    <w:rsid w:val="00294068"/>
    <w:rsid w:val="002B37FF"/>
    <w:rsid w:val="002B5251"/>
    <w:rsid w:val="002B740B"/>
    <w:rsid w:val="002D3868"/>
    <w:rsid w:val="002E15B0"/>
    <w:rsid w:val="002F3591"/>
    <w:rsid w:val="003042B2"/>
    <w:rsid w:val="0031749F"/>
    <w:rsid w:val="0032174F"/>
    <w:rsid w:val="00380177"/>
    <w:rsid w:val="0038112D"/>
    <w:rsid w:val="00391476"/>
    <w:rsid w:val="00391FB4"/>
    <w:rsid w:val="003955EE"/>
    <w:rsid w:val="003A50ED"/>
    <w:rsid w:val="00414956"/>
    <w:rsid w:val="00432578"/>
    <w:rsid w:val="00454D5D"/>
    <w:rsid w:val="004604B9"/>
    <w:rsid w:val="004679C4"/>
    <w:rsid w:val="00486B6A"/>
    <w:rsid w:val="0048716B"/>
    <w:rsid w:val="0049508B"/>
    <w:rsid w:val="004A6F48"/>
    <w:rsid w:val="004E4A89"/>
    <w:rsid w:val="004F2855"/>
    <w:rsid w:val="00504778"/>
    <w:rsid w:val="00513BC6"/>
    <w:rsid w:val="00537327"/>
    <w:rsid w:val="00541245"/>
    <w:rsid w:val="00542BC1"/>
    <w:rsid w:val="00545A1C"/>
    <w:rsid w:val="005513A3"/>
    <w:rsid w:val="00552724"/>
    <w:rsid w:val="00564BFB"/>
    <w:rsid w:val="00566450"/>
    <w:rsid w:val="00576A1F"/>
    <w:rsid w:val="00591646"/>
    <w:rsid w:val="005B2A0C"/>
    <w:rsid w:val="005E771A"/>
    <w:rsid w:val="005F5E7C"/>
    <w:rsid w:val="00610B08"/>
    <w:rsid w:val="006169F9"/>
    <w:rsid w:val="00621119"/>
    <w:rsid w:val="00645EFB"/>
    <w:rsid w:val="00666067"/>
    <w:rsid w:val="006B2481"/>
    <w:rsid w:val="006B4F49"/>
    <w:rsid w:val="006C2664"/>
    <w:rsid w:val="006F31CC"/>
    <w:rsid w:val="00701A31"/>
    <w:rsid w:val="007207C0"/>
    <w:rsid w:val="00725820"/>
    <w:rsid w:val="007374AF"/>
    <w:rsid w:val="007875AB"/>
    <w:rsid w:val="007B489D"/>
    <w:rsid w:val="007B695D"/>
    <w:rsid w:val="007D43BB"/>
    <w:rsid w:val="007F4AB8"/>
    <w:rsid w:val="0080155C"/>
    <w:rsid w:val="00832B7C"/>
    <w:rsid w:val="00833A3D"/>
    <w:rsid w:val="00835461"/>
    <w:rsid w:val="00837BDF"/>
    <w:rsid w:val="00840FF8"/>
    <w:rsid w:val="008442D0"/>
    <w:rsid w:val="00881257"/>
    <w:rsid w:val="0088328A"/>
    <w:rsid w:val="00885E1F"/>
    <w:rsid w:val="008B5D56"/>
    <w:rsid w:val="008B7B0F"/>
    <w:rsid w:val="008C2171"/>
    <w:rsid w:val="008D6E73"/>
    <w:rsid w:val="00903D31"/>
    <w:rsid w:val="00903EC6"/>
    <w:rsid w:val="00910C8E"/>
    <w:rsid w:val="00916D9C"/>
    <w:rsid w:val="009326DA"/>
    <w:rsid w:val="00936D51"/>
    <w:rsid w:val="009428BB"/>
    <w:rsid w:val="009472D6"/>
    <w:rsid w:val="009D26AF"/>
    <w:rsid w:val="009F4936"/>
    <w:rsid w:val="00A0683B"/>
    <w:rsid w:val="00A100F4"/>
    <w:rsid w:val="00A3105D"/>
    <w:rsid w:val="00A33681"/>
    <w:rsid w:val="00A46C01"/>
    <w:rsid w:val="00A51A5D"/>
    <w:rsid w:val="00AA3621"/>
    <w:rsid w:val="00AA4CB9"/>
    <w:rsid w:val="00AC6E23"/>
    <w:rsid w:val="00B0200C"/>
    <w:rsid w:val="00B04E07"/>
    <w:rsid w:val="00B10D57"/>
    <w:rsid w:val="00B324FB"/>
    <w:rsid w:val="00B403E2"/>
    <w:rsid w:val="00B41FD1"/>
    <w:rsid w:val="00B50CAC"/>
    <w:rsid w:val="00B52FD8"/>
    <w:rsid w:val="00B61AD9"/>
    <w:rsid w:val="00B62E5E"/>
    <w:rsid w:val="00B81A77"/>
    <w:rsid w:val="00B91A0E"/>
    <w:rsid w:val="00B926C7"/>
    <w:rsid w:val="00BB72D8"/>
    <w:rsid w:val="00BC228C"/>
    <w:rsid w:val="00BD5BF3"/>
    <w:rsid w:val="00BE0DD4"/>
    <w:rsid w:val="00C36195"/>
    <w:rsid w:val="00C57A25"/>
    <w:rsid w:val="00C65ADC"/>
    <w:rsid w:val="00C66BCA"/>
    <w:rsid w:val="00C74DA6"/>
    <w:rsid w:val="00C754EA"/>
    <w:rsid w:val="00C77430"/>
    <w:rsid w:val="00C9013A"/>
    <w:rsid w:val="00CA1E7F"/>
    <w:rsid w:val="00CA259D"/>
    <w:rsid w:val="00CD798D"/>
    <w:rsid w:val="00CE0ED4"/>
    <w:rsid w:val="00CF1354"/>
    <w:rsid w:val="00D379E2"/>
    <w:rsid w:val="00D7768B"/>
    <w:rsid w:val="00D80C70"/>
    <w:rsid w:val="00DE063F"/>
    <w:rsid w:val="00DE7EE8"/>
    <w:rsid w:val="00E142B6"/>
    <w:rsid w:val="00E14F1C"/>
    <w:rsid w:val="00E349D1"/>
    <w:rsid w:val="00E53F13"/>
    <w:rsid w:val="00E64C02"/>
    <w:rsid w:val="00E77203"/>
    <w:rsid w:val="00EB138D"/>
    <w:rsid w:val="00EB18F5"/>
    <w:rsid w:val="00EC46CA"/>
    <w:rsid w:val="00F3644E"/>
    <w:rsid w:val="00F615F6"/>
    <w:rsid w:val="00F65DD5"/>
    <w:rsid w:val="00F660A8"/>
    <w:rsid w:val="00F978CE"/>
    <w:rsid w:val="00FA5077"/>
    <w:rsid w:val="00FC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061C"/>
  <w15:chartTrackingRefBased/>
  <w15:docId w15:val="{BE2DCD67-CF99-40A3-8072-E1E1B139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1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1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1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1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1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E7F"/>
    <w:rPr>
      <w:rFonts w:eastAsiaTheme="majorEastAsia" w:cstheme="majorBidi"/>
      <w:color w:val="272727" w:themeColor="text1" w:themeTint="D8"/>
    </w:rPr>
  </w:style>
  <w:style w:type="paragraph" w:styleId="Title">
    <w:name w:val="Title"/>
    <w:basedOn w:val="Normal"/>
    <w:next w:val="Normal"/>
    <w:link w:val="TitleChar"/>
    <w:uiPriority w:val="10"/>
    <w:qFormat/>
    <w:rsid w:val="00CA1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E7F"/>
    <w:pPr>
      <w:spacing w:before="160"/>
      <w:jc w:val="center"/>
    </w:pPr>
    <w:rPr>
      <w:i/>
      <w:iCs/>
      <w:color w:val="404040" w:themeColor="text1" w:themeTint="BF"/>
    </w:rPr>
  </w:style>
  <w:style w:type="character" w:customStyle="1" w:styleId="QuoteChar">
    <w:name w:val="Quote Char"/>
    <w:basedOn w:val="DefaultParagraphFont"/>
    <w:link w:val="Quote"/>
    <w:uiPriority w:val="29"/>
    <w:rsid w:val="00CA1E7F"/>
    <w:rPr>
      <w:i/>
      <w:iCs/>
      <w:color w:val="404040" w:themeColor="text1" w:themeTint="BF"/>
    </w:rPr>
  </w:style>
  <w:style w:type="paragraph" w:styleId="ListParagraph">
    <w:name w:val="List Paragraph"/>
    <w:basedOn w:val="Normal"/>
    <w:uiPriority w:val="34"/>
    <w:qFormat/>
    <w:rsid w:val="00CA1E7F"/>
    <w:pPr>
      <w:ind w:left="720"/>
      <w:contextualSpacing/>
    </w:pPr>
  </w:style>
  <w:style w:type="character" w:styleId="IntenseEmphasis">
    <w:name w:val="Intense Emphasis"/>
    <w:basedOn w:val="DefaultParagraphFont"/>
    <w:uiPriority w:val="21"/>
    <w:qFormat/>
    <w:rsid w:val="00CA1E7F"/>
    <w:rPr>
      <w:i/>
      <w:iCs/>
      <w:color w:val="0F4761" w:themeColor="accent1" w:themeShade="BF"/>
    </w:rPr>
  </w:style>
  <w:style w:type="paragraph" w:styleId="IntenseQuote">
    <w:name w:val="Intense Quote"/>
    <w:basedOn w:val="Normal"/>
    <w:next w:val="Normal"/>
    <w:link w:val="IntenseQuoteChar"/>
    <w:uiPriority w:val="30"/>
    <w:qFormat/>
    <w:rsid w:val="00CA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E7F"/>
    <w:rPr>
      <w:i/>
      <w:iCs/>
      <w:color w:val="0F4761" w:themeColor="accent1" w:themeShade="BF"/>
    </w:rPr>
  </w:style>
  <w:style w:type="character" w:styleId="IntenseReference">
    <w:name w:val="Intense Reference"/>
    <w:basedOn w:val="DefaultParagraphFont"/>
    <w:uiPriority w:val="32"/>
    <w:qFormat/>
    <w:rsid w:val="00CA1E7F"/>
    <w:rPr>
      <w:b/>
      <w:bCs/>
      <w:smallCaps/>
      <w:color w:val="0F4761" w:themeColor="accent1" w:themeShade="BF"/>
      <w:spacing w:val="5"/>
    </w:rPr>
  </w:style>
  <w:style w:type="character" w:styleId="Hyperlink">
    <w:name w:val="Hyperlink"/>
    <w:basedOn w:val="DefaultParagraphFont"/>
    <w:uiPriority w:val="99"/>
    <w:unhideWhenUsed/>
    <w:rsid w:val="00CA1E7F"/>
    <w:rPr>
      <w:color w:val="467886" w:themeColor="hyperlink"/>
      <w:u w:val="single"/>
    </w:rPr>
  </w:style>
  <w:style w:type="character" w:styleId="UnresolvedMention">
    <w:name w:val="Unresolved Mention"/>
    <w:basedOn w:val="DefaultParagraphFont"/>
    <w:uiPriority w:val="99"/>
    <w:semiHidden/>
    <w:unhideWhenUsed/>
    <w:rsid w:val="00CA1E7F"/>
    <w:rPr>
      <w:color w:val="605E5C"/>
      <w:shd w:val="clear" w:color="auto" w:fill="E1DFDD"/>
    </w:rPr>
  </w:style>
  <w:style w:type="character" w:styleId="FollowedHyperlink">
    <w:name w:val="FollowedHyperlink"/>
    <w:basedOn w:val="DefaultParagraphFont"/>
    <w:uiPriority w:val="99"/>
    <w:semiHidden/>
    <w:unhideWhenUsed/>
    <w:rsid w:val="00CA1E7F"/>
    <w:rPr>
      <w:color w:val="96607D" w:themeColor="followedHyperlink"/>
      <w:u w:val="single"/>
    </w:rPr>
  </w:style>
  <w:style w:type="paragraph" w:styleId="TOCHeading">
    <w:name w:val="TOC Heading"/>
    <w:basedOn w:val="Heading1"/>
    <w:next w:val="Normal"/>
    <w:uiPriority w:val="39"/>
    <w:unhideWhenUsed/>
    <w:qFormat/>
    <w:rsid w:val="003A50ED"/>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3A50ED"/>
    <w:pPr>
      <w:spacing w:after="100"/>
    </w:pPr>
  </w:style>
  <w:style w:type="paragraph" w:styleId="TOC2">
    <w:name w:val="toc 2"/>
    <w:basedOn w:val="Normal"/>
    <w:next w:val="Normal"/>
    <w:autoRedefine/>
    <w:uiPriority w:val="39"/>
    <w:unhideWhenUsed/>
    <w:rsid w:val="003A50ED"/>
    <w:pPr>
      <w:spacing w:after="100"/>
      <w:ind w:left="220"/>
    </w:pPr>
  </w:style>
  <w:style w:type="paragraph" w:styleId="TOC3">
    <w:name w:val="toc 3"/>
    <w:basedOn w:val="Normal"/>
    <w:next w:val="Normal"/>
    <w:autoRedefine/>
    <w:uiPriority w:val="39"/>
    <w:unhideWhenUsed/>
    <w:rsid w:val="003A50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923">
      <w:bodyDiv w:val="1"/>
      <w:marLeft w:val="0"/>
      <w:marRight w:val="0"/>
      <w:marTop w:val="0"/>
      <w:marBottom w:val="0"/>
      <w:divBdr>
        <w:top w:val="none" w:sz="0" w:space="0" w:color="auto"/>
        <w:left w:val="none" w:sz="0" w:space="0" w:color="auto"/>
        <w:bottom w:val="none" w:sz="0" w:space="0" w:color="auto"/>
        <w:right w:val="none" w:sz="0" w:space="0" w:color="auto"/>
      </w:divBdr>
    </w:div>
    <w:div w:id="351886198">
      <w:bodyDiv w:val="1"/>
      <w:marLeft w:val="0"/>
      <w:marRight w:val="0"/>
      <w:marTop w:val="0"/>
      <w:marBottom w:val="0"/>
      <w:divBdr>
        <w:top w:val="none" w:sz="0" w:space="0" w:color="auto"/>
        <w:left w:val="none" w:sz="0" w:space="0" w:color="auto"/>
        <w:bottom w:val="none" w:sz="0" w:space="0" w:color="auto"/>
        <w:right w:val="none" w:sz="0" w:space="0" w:color="auto"/>
      </w:divBdr>
    </w:div>
    <w:div w:id="368380973">
      <w:bodyDiv w:val="1"/>
      <w:marLeft w:val="0"/>
      <w:marRight w:val="0"/>
      <w:marTop w:val="0"/>
      <w:marBottom w:val="0"/>
      <w:divBdr>
        <w:top w:val="none" w:sz="0" w:space="0" w:color="auto"/>
        <w:left w:val="none" w:sz="0" w:space="0" w:color="auto"/>
        <w:bottom w:val="none" w:sz="0" w:space="0" w:color="auto"/>
        <w:right w:val="none" w:sz="0" w:space="0" w:color="auto"/>
      </w:divBdr>
      <w:divsChild>
        <w:div w:id="478040096">
          <w:marLeft w:val="0"/>
          <w:marRight w:val="0"/>
          <w:marTop w:val="0"/>
          <w:marBottom w:val="0"/>
          <w:divBdr>
            <w:top w:val="none" w:sz="0" w:space="0" w:color="auto"/>
            <w:left w:val="none" w:sz="0" w:space="0" w:color="auto"/>
            <w:bottom w:val="none" w:sz="0" w:space="0" w:color="auto"/>
            <w:right w:val="none" w:sz="0" w:space="0" w:color="auto"/>
          </w:divBdr>
          <w:divsChild>
            <w:div w:id="210308011">
              <w:marLeft w:val="0"/>
              <w:marRight w:val="0"/>
              <w:marTop w:val="0"/>
              <w:marBottom w:val="0"/>
              <w:divBdr>
                <w:top w:val="none" w:sz="0" w:space="0" w:color="auto"/>
                <w:left w:val="none" w:sz="0" w:space="0" w:color="auto"/>
                <w:bottom w:val="none" w:sz="0" w:space="0" w:color="auto"/>
                <w:right w:val="none" w:sz="0" w:space="0" w:color="auto"/>
              </w:divBdr>
              <w:divsChild>
                <w:div w:id="1432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500973895">
      <w:bodyDiv w:val="1"/>
      <w:marLeft w:val="0"/>
      <w:marRight w:val="0"/>
      <w:marTop w:val="0"/>
      <w:marBottom w:val="0"/>
      <w:divBdr>
        <w:top w:val="none" w:sz="0" w:space="0" w:color="auto"/>
        <w:left w:val="none" w:sz="0" w:space="0" w:color="auto"/>
        <w:bottom w:val="none" w:sz="0" w:space="0" w:color="auto"/>
        <w:right w:val="none" w:sz="0" w:space="0" w:color="auto"/>
      </w:divBdr>
      <w:divsChild>
        <w:div w:id="1167553574">
          <w:marLeft w:val="0"/>
          <w:marRight w:val="0"/>
          <w:marTop w:val="0"/>
          <w:marBottom w:val="240"/>
          <w:divBdr>
            <w:top w:val="none" w:sz="0" w:space="0" w:color="auto"/>
            <w:left w:val="none" w:sz="0" w:space="0" w:color="auto"/>
            <w:bottom w:val="none" w:sz="0" w:space="0" w:color="auto"/>
            <w:right w:val="none" w:sz="0" w:space="0" w:color="auto"/>
          </w:divBdr>
          <w:divsChild>
            <w:div w:id="1670593258">
              <w:marLeft w:val="0"/>
              <w:marRight w:val="0"/>
              <w:marTop w:val="0"/>
              <w:marBottom w:val="0"/>
              <w:divBdr>
                <w:top w:val="none" w:sz="0" w:space="0" w:color="auto"/>
                <w:left w:val="none" w:sz="0" w:space="0" w:color="auto"/>
                <w:bottom w:val="none" w:sz="0" w:space="0" w:color="auto"/>
                <w:right w:val="none" w:sz="0" w:space="0" w:color="auto"/>
              </w:divBdr>
              <w:divsChild>
                <w:div w:id="196550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312">
          <w:marLeft w:val="0"/>
          <w:marRight w:val="0"/>
          <w:marTop w:val="0"/>
          <w:marBottom w:val="240"/>
          <w:divBdr>
            <w:top w:val="none" w:sz="0" w:space="0" w:color="auto"/>
            <w:left w:val="none" w:sz="0" w:space="0" w:color="auto"/>
            <w:bottom w:val="none" w:sz="0" w:space="0" w:color="auto"/>
            <w:right w:val="none" w:sz="0" w:space="0" w:color="auto"/>
          </w:divBdr>
          <w:divsChild>
            <w:div w:id="2100981956">
              <w:marLeft w:val="0"/>
              <w:marRight w:val="0"/>
              <w:marTop w:val="0"/>
              <w:marBottom w:val="0"/>
              <w:divBdr>
                <w:top w:val="none" w:sz="0" w:space="0" w:color="auto"/>
                <w:left w:val="none" w:sz="0" w:space="0" w:color="auto"/>
                <w:bottom w:val="none" w:sz="0" w:space="0" w:color="auto"/>
                <w:right w:val="none" w:sz="0" w:space="0" w:color="auto"/>
              </w:divBdr>
              <w:divsChild>
                <w:div w:id="3111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777">
          <w:marLeft w:val="0"/>
          <w:marRight w:val="0"/>
          <w:marTop w:val="0"/>
          <w:marBottom w:val="240"/>
          <w:divBdr>
            <w:top w:val="none" w:sz="0" w:space="0" w:color="auto"/>
            <w:left w:val="none" w:sz="0" w:space="0" w:color="auto"/>
            <w:bottom w:val="none" w:sz="0" w:space="0" w:color="auto"/>
            <w:right w:val="none" w:sz="0" w:space="0" w:color="auto"/>
          </w:divBdr>
          <w:divsChild>
            <w:div w:id="695546351">
              <w:marLeft w:val="0"/>
              <w:marRight w:val="0"/>
              <w:marTop w:val="0"/>
              <w:marBottom w:val="0"/>
              <w:divBdr>
                <w:top w:val="none" w:sz="0" w:space="0" w:color="auto"/>
                <w:left w:val="none" w:sz="0" w:space="0" w:color="auto"/>
                <w:bottom w:val="none" w:sz="0" w:space="0" w:color="auto"/>
                <w:right w:val="none" w:sz="0" w:space="0" w:color="auto"/>
              </w:divBdr>
              <w:divsChild>
                <w:div w:id="20864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5873">
      <w:bodyDiv w:val="1"/>
      <w:marLeft w:val="0"/>
      <w:marRight w:val="0"/>
      <w:marTop w:val="0"/>
      <w:marBottom w:val="0"/>
      <w:divBdr>
        <w:top w:val="none" w:sz="0" w:space="0" w:color="auto"/>
        <w:left w:val="none" w:sz="0" w:space="0" w:color="auto"/>
        <w:bottom w:val="none" w:sz="0" w:space="0" w:color="auto"/>
        <w:right w:val="none" w:sz="0" w:space="0" w:color="auto"/>
      </w:divBdr>
    </w:div>
    <w:div w:id="878318129">
      <w:bodyDiv w:val="1"/>
      <w:marLeft w:val="0"/>
      <w:marRight w:val="0"/>
      <w:marTop w:val="0"/>
      <w:marBottom w:val="0"/>
      <w:divBdr>
        <w:top w:val="none" w:sz="0" w:space="0" w:color="auto"/>
        <w:left w:val="none" w:sz="0" w:space="0" w:color="auto"/>
        <w:bottom w:val="none" w:sz="0" w:space="0" w:color="auto"/>
        <w:right w:val="none" w:sz="0" w:space="0" w:color="auto"/>
      </w:divBdr>
    </w:div>
    <w:div w:id="1247153355">
      <w:bodyDiv w:val="1"/>
      <w:marLeft w:val="0"/>
      <w:marRight w:val="0"/>
      <w:marTop w:val="0"/>
      <w:marBottom w:val="0"/>
      <w:divBdr>
        <w:top w:val="none" w:sz="0" w:space="0" w:color="auto"/>
        <w:left w:val="none" w:sz="0" w:space="0" w:color="auto"/>
        <w:bottom w:val="none" w:sz="0" w:space="0" w:color="auto"/>
        <w:right w:val="none" w:sz="0" w:space="0" w:color="auto"/>
      </w:divBdr>
    </w:div>
    <w:div w:id="1325890148">
      <w:bodyDiv w:val="1"/>
      <w:marLeft w:val="0"/>
      <w:marRight w:val="0"/>
      <w:marTop w:val="0"/>
      <w:marBottom w:val="0"/>
      <w:divBdr>
        <w:top w:val="none" w:sz="0" w:space="0" w:color="auto"/>
        <w:left w:val="none" w:sz="0" w:space="0" w:color="auto"/>
        <w:bottom w:val="none" w:sz="0" w:space="0" w:color="auto"/>
        <w:right w:val="none" w:sz="0" w:space="0" w:color="auto"/>
      </w:divBdr>
      <w:divsChild>
        <w:div w:id="358435462">
          <w:marLeft w:val="0"/>
          <w:marRight w:val="0"/>
          <w:marTop w:val="450"/>
          <w:marBottom w:val="450"/>
          <w:divBdr>
            <w:top w:val="none" w:sz="0" w:space="0" w:color="auto"/>
            <w:left w:val="none" w:sz="0" w:space="0" w:color="auto"/>
            <w:bottom w:val="none" w:sz="0" w:space="0" w:color="auto"/>
            <w:right w:val="none" w:sz="0" w:space="0" w:color="auto"/>
          </w:divBdr>
        </w:div>
        <w:div w:id="1772893810">
          <w:marLeft w:val="0"/>
          <w:marRight w:val="0"/>
          <w:marTop w:val="1200"/>
          <w:marBottom w:val="1200"/>
          <w:divBdr>
            <w:top w:val="none" w:sz="0" w:space="0" w:color="auto"/>
            <w:left w:val="none" w:sz="0" w:space="0" w:color="auto"/>
            <w:bottom w:val="none" w:sz="0" w:space="0" w:color="auto"/>
            <w:right w:val="none" w:sz="0" w:space="0" w:color="auto"/>
          </w:divBdr>
          <w:divsChild>
            <w:div w:id="214975925">
              <w:marLeft w:val="0"/>
              <w:marRight w:val="0"/>
              <w:marTop w:val="0"/>
              <w:marBottom w:val="0"/>
              <w:divBdr>
                <w:top w:val="none" w:sz="0" w:space="0" w:color="auto"/>
                <w:left w:val="none" w:sz="0" w:space="0" w:color="auto"/>
                <w:bottom w:val="none" w:sz="0" w:space="0" w:color="auto"/>
                <w:right w:val="none" w:sz="0" w:space="0" w:color="auto"/>
              </w:divBdr>
            </w:div>
            <w:div w:id="1392118230">
              <w:marLeft w:val="0"/>
              <w:marRight w:val="0"/>
              <w:marTop w:val="0"/>
              <w:marBottom w:val="0"/>
              <w:divBdr>
                <w:top w:val="none" w:sz="0" w:space="0" w:color="auto"/>
                <w:left w:val="none" w:sz="0" w:space="0" w:color="auto"/>
                <w:bottom w:val="none" w:sz="0" w:space="0" w:color="auto"/>
                <w:right w:val="none" w:sz="0" w:space="0" w:color="auto"/>
              </w:divBdr>
            </w:div>
            <w:div w:id="1582451744">
              <w:marLeft w:val="0"/>
              <w:marRight w:val="0"/>
              <w:marTop w:val="0"/>
              <w:marBottom w:val="0"/>
              <w:divBdr>
                <w:top w:val="none" w:sz="0" w:space="0" w:color="auto"/>
                <w:left w:val="none" w:sz="0" w:space="0" w:color="auto"/>
                <w:bottom w:val="none" w:sz="0" w:space="0" w:color="auto"/>
                <w:right w:val="none" w:sz="0" w:space="0" w:color="auto"/>
              </w:divBdr>
            </w:div>
            <w:div w:id="294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9564">
      <w:bodyDiv w:val="1"/>
      <w:marLeft w:val="0"/>
      <w:marRight w:val="0"/>
      <w:marTop w:val="0"/>
      <w:marBottom w:val="0"/>
      <w:divBdr>
        <w:top w:val="none" w:sz="0" w:space="0" w:color="auto"/>
        <w:left w:val="none" w:sz="0" w:space="0" w:color="auto"/>
        <w:bottom w:val="none" w:sz="0" w:space="0" w:color="auto"/>
        <w:right w:val="none" w:sz="0" w:space="0" w:color="auto"/>
      </w:divBdr>
    </w:div>
    <w:div w:id="1481191900">
      <w:bodyDiv w:val="1"/>
      <w:marLeft w:val="0"/>
      <w:marRight w:val="0"/>
      <w:marTop w:val="0"/>
      <w:marBottom w:val="0"/>
      <w:divBdr>
        <w:top w:val="none" w:sz="0" w:space="0" w:color="auto"/>
        <w:left w:val="none" w:sz="0" w:space="0" w:color="auto"/>
        <w:bottom w:val="none" w:sz="0" w:space="0" w:color="auto"/>
        <w:right w:val="none" w:sz="0" w:space="0" w:color="auto"/>
      </w:divBdr>
    </w:div>
    <w:div w:id="1501384789">
      <w:bodyDiv w:val="1"/>
      <w:marLeft w:val="0"/>
      <w:marRight w:val="0"/>
      <w:marTop w:val="0"/>
      <w:marBottom w:val="0"/>
      <w:divBdr>
        <w:top w:val="none" w:sz="0" w:space="0" w:color="auto"/>
        <w:left w:val="none" w:sz="0" w:space="0" w:color="auto"/>
        <w:bottom w:val="none" w:sz="0" w:space="0" w:color="auto"/>
        <w:right w:val="none" w:sz="0" w:space="0" w:color="auto"/>
      </w:divBdr>
      <w:divsChild>
        <w:div w:id="1367440602">
          <w:marLeft w:val="0"/>
          <w:marRight w:val="0"/>
          <w:marTop w:val="0"/>
          <w:marBottom w:val="240"/>
          <w:divBdr>
            <w:top w:val="none" w:sz="0" w:space="0" w:color="auto"/>
            <w:left w:val="none" w:sz="0" w:space="0" w:color="auto"/>
            <w:bottom w:val="none" w:sz="0" w:space="0" w:color="auto"/>
            <w:right w:val="none" w:sz="0" w:space="0" w:color="auto"/>
          </w:divBdr>
          <w:divsChild>
            <w:div w:id="1452089055">
              <w:marLeft w:val="0"/>
              <w:marRight w:val="0"/>
              <w:marTop w:val="0"/>
              <w:marBottom w:val="0"/>
              <w:divBdr>
                <w:top w:val="none" w:sz="0" w:space="0" w:color="auto"/>
                <w:left w:val="none" w:sz="0" w:space="0" w:color="auto"/>
                <w:bottom w:val="none" w:sz="0" w:space="0" w:color="auto"/>
                <w:right w:val="none" w:sz="0" w:space="0" w:color="auto"/>
              </w:divBdr>
              <w:divsChild>
                <w:div w:id="1542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10845">
          <w:marLeft w:val="0"/>
          <w:marRight w:val="0"/>
          <w:marTop w:val="0"/>
          <w:marBottom w:val="240"/>
          <w:divBdr>
            <w:top w:val="none" w:sz="0" w:space="0" w:color="auto"/>
            <w:left w:val="none" w:sz="0" w:space="0" w:color="auto"/>
            <w:bottom w:val="none" w:sz="0" w:space="0" w:color="auto"/>
            <w:right w:val="none" w:sz="0" w:space="0" w:color="auto"/>
          </w:divBdr>
          <w:divsChild>
            <w:div w:id="17201054">
              <w:marLeft w:val="0"/>
              <w:marRight w:val="0"/>
              <w:marTop w:val="0"/>
              <w:marBottom w:val="0"/>
              <w:divBdr>
                <w:top w:val="none" w:sz="0" w:space="0" w:color="auto"/>
                <w:left w:val="none" w:sz="0" w:space="0" w:color="auto"/>
                <w:bottom w:val="none" w:sz="0" w:space="0" w:color="auto"/>
                <w:right w:val="none" w:sz="0" w:space="0" w:color="auto"/>
              </w:divBdr>
              <w:divsChild>
                <w:div w:id="15201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4327">
          <w:marLeft w:val="0"/>
          <w:marRight w:val="0"/>
          <w:marTop w:val="0"/>
          <w:marBottom w:val="240"/>
          <w:divBdr>
            <w:top w:val="none" w:sz="0" w:space="0" w:color="auto"/>
            <w:left w:val="none" w:sz="0" w:space="0" w:color="auto"/>
            <w:bottom w:val="none" w:sz="0" w:space="0" w:color="auto"/>
            <w:right w:val="none" w:sz="0" w:space="0" w:color="auto"/>
          </w:divBdr>
          <w:divsChild>
            <w:div w:id="1301113895">
              <w:marLeft w:val="0"/>
              <w:marRight w:val="0"/>
              <w:marTop w:val="0"/>
              <w:marBottom w:val="0"/>
              <w:divBdr>
                <w:top w:val="none" w:sz="0" w:space="0" w:color="auto"/>
                <w:left w:val="none" w:sz="0" w:space="0" w:color="auto"/>
                <w:bottom w:val="none" w:sz="0" w:space="0" w:color="auto"/>
                <w:right w:val="none" w:sz="0" w:space="0" w:color="auto"/>
              </w:divBdr>
              <w:divsChild>
                <w:div w:id="7683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15496">
      <w:bodyDiv w:val="1"/>
      <w:marLeft w:val="0"/>
      <w:marRight w:val="0"/>
      <w:marTop w:val="0"/>
      <w:marBottom w:val="0"/>
      <w:divBdr>
        <w:top w:val="none" w:sz="0" w:space="0" w:color="auto"/>
        <w:left w:val="none" w:sz="0" w:space="0" w:color="auto"/>
        <w:bottom w:val="none" w:sz="0" w:space="0" w:color="auto"/>
        <w:right w:val="none" w:sz="0" w:space="0" w:color="auto"/>
      </w:divBdr>
    </w:div>
    <w:div w:id="1644457497">
      <w:bodyDiv w:val="1"/>
      <w:marLeft w:val="0"/>
      <w:marRight w:val="0"/>
      <w:marTop w:val="0"/>
      <w:marBottom w:val="0"/>
      <w:divBdr>
        <w:top w:val="none" w:sz="0" w:space="0" w:color="auto"/>
        <w:left w:val="none" w:sz="0" w:space="0" w:color="auto"/>
        <w:bottom w:val="none" w:sz="0" w:space="0" w:color="auto"/>
        <w:right w:val="none" w:sz="0" w:space="0" w:color="auto"/>
      </w:divBdr>
    </w:div>
    <w:div w:id="1708142526">
      <w:bodyDiv w:val="1"/>
      <w:marLeft w:val="0"/>
      <w:marRight w:val="0"/>
      <w:marTop w:val="0"/>
      <w:marBottom w:val="0"/>
      <w:divBdr>
        <w:top w:val="none" w:sz="0" w:space="0" w:color="auto"/>
        <w:left w:val="none" w:sz="0" w:space="0" w:color="auto"/>
        <w:bottom w:val="none" w:sz="0" w:space="0" w:color="auto"/>
        <w:right w:val="none" w:sz="0" w:space="0" w:color="auto"/>
      </w:divBdr>
    </w:div>
    <w:div w:id="1788544833">
      <w:bodyDiv w:val="1"/>
      <w:marLeft w:val="0"/>
      <w:marRight w:val="0"/>
      <w:marTop w:val="0"/>
      <w:marBottom w:val="0"/>
      <w:divBdr>
        <w:top w:val="none" w:sz="0" w:space="0" w:color="auto"/>
        <w:left w:val="none" w:sz="0" w:space="0" w:color="auto"/>
        <w:bottom w:val="none" w:sz="0" w:space="0" w:color="auto"/>
        <w:right w:val="none" w:sz="0" w:space="0" w:color="auto"/>
      </w:divBdr>
    </w:div>
    <w:div w:id="2002736469">
      <w:bodyDiv w:val="1"/>
      <w:marLeft w:val="0"/>
      <w:marRight w:val="0"/>
      <w:marTop w:val="0"/>
      <w:marBottom w:val="0"/>
      <w:divBdr>
        <w:top w:val="none" w:sz="0" w:space="0" w:color="auto"/>
        <w:left w:val="none" w:sz="0" w:space="0" w:color="auto"/>
        <w:bottom w:val="none" w:sz="0" w:space="0" w:color="auto"/>
        <w:right w:val="none" w:sz="0" w:space="0" w:color="auto"/>
      </w:divBdr>
      <w:divsChild>
        <w:div w:id="1894999534">
          <w:marLeft w:val="0"/>
          <w:marRight w:val="0"/>
          <w:marTop w:val="0"/>
          <w:marBottom w:val="0"/>
          <w:divBdr>
            <w:top w:val="none" w:sz="0" w:space="0" w:color="auto"/>
            <w:left w:val="none" w:sz="0" w:space="0" w:color="auto"/>
            <w:bottom w:val="none" w:sz="0" w:space="0" w:color="auto"/>
            <w:right w:val="none" w:sz="0" w:space="0" w:color="auto"/>
          </w:divBdr>
          <w:divsChild>
            <w:div w:id="11157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18A00153/latest/text" TargetMode="External"/><Relationship Id="rId3" Type="http://schemas.openxmlformats.org/officeDocument/2006/relationships/styles" Target="styles.xml"/><Relationship Id="rId7" Type="http://schemas.openxmlformats.org/officeDocument/2006/relationships/hyperlink" Target="https://www.bsigroup.com/en-GB/insights-and-media/insights/brochures/bs-25700-organizational-responses-to-modern-slaver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cd.org/en/publications/2016/04/oecd-due-diligence-guidance-for-responsible-supply-chains-of-minerals-from-conflict-affected-and-high-risk-areas_g1g65996.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egislation.gov.uk/ukpga/2015/30/section/54" TargetMode="External"/><Relationship Id="rId4" Type="http://schemas.openxmlformats.org/officeDocument/2006/relationships/settings" Target="settings.xml"/><Relationship Id="rId9" Type="http://schemas.openxmlformats.org/officeDocument/2006/relationships/hyperlink" Target="https://laws.justice.gc.ca/eng/acts/F-10.6/pag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A1CE-2498-4DBE-8DFF-9325938C2A75}">
  <ds:schemaRefs>
    <ds:schemaRef ds:uri="http://schemas.openxmlformats.org/officeDocument/2006/bibliography"/>
  </ds:schemaRefs>
</ds:datastoreItem>
</file>

<file path=docMetadata/LabelInfo.xml><?xml version="1.0" encoding="utf-8"?>
<clbl:labelList xmlns:clbl="http://schemas.microsoft.com/office/2020/mipLabelMetadata">
  <clbl:label id="{91a90427-0869-45c9-968a-60fb6263bb3f}" enabled="0" method="" siteId="{91a90427-0869-45c9-968a-60fb6263bb3f}"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Brown</dc:creator>
  <cp:keywords/>
  <dc:description/>
  <cp:lastModifiedBy>Julie Potts</cp:lastModifiedBy>
  <cp:revision>4</cp:revision>
  <dcterms:created xsi:type="dcterms:W3CDTF">2025-10-29T18:09:00Z</dcterms:created>
  <dcterms:modified xsi:type="dcterms:W3CDTF">2025-10-29T18:39:00Z</dcterms:modified>
</cp:coreProperties>
</file>